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1" w:rsidRPr="009A04A7" w:rsidRDefault="00024351" w:rsidP="00024351">
      <w:pPr>
        <w:autoSpaceDE w:val="0"/>
        <w:autoSpaceDN w:val="0"/>
        <w:adjustRightInd w:val="0"/>
        <w:jc w:val="both"/>
        <w:rPr>
          <w:rFonts w:ascii="Century Gothic" w:hAnsi="Century Gothic"/>
          <w:b/>
          <w:noProof/>
          <w:sz w:val="18"/>
          <w:szCs w:val="18"/>
        </w:rPr>
      </w:pPr>
      <w:r w:rsidRPr="009A04A7">
        <w:rPr>
          <w:rFonts w:ascii="Verdana" w:hAnsi="Verdana"/>
          <w:sz w:val="18"/>
          <w:szCs w:val="18"/>
        </w:rPr>
        <w:t xml:space="preserve">Denominación: </w:t>
      </w:r>
      <w:r w:rsidRPr="009A04A7">
        <w:rPr>
          <w:rFonts w:ascii="Verdana" w:hAnsi="Verdana"/>
          <w:b/>
          <w:sz w:val="18"/>
          <w:szCs w:val="18"/>
        </w:rPr>
        <w:t>Nuevas perspectivas de investigación artística: la investigación artística-narrativa.</w:t>
      </w:r>
      <w:r w:rsidRPr="009A04A7">
        <w:rPr>
          <w:rFonts w:ascii="Century Gothic" w:hAnsi="Century Gothic"/>
          <w:b/>
          <w:noProof/>
          <w:sz w:val="18"/>
          <w:szCs w:val="18"/>
        </w:rPr>
        <w:t> </w:t>
      </w:r>
    </w:p>
    <w:p w:rsidR="00024351" w:rsidRPr="009A04A7" w:rsidRDefault="00024351" w:rsidP="00024351">
      <w:pPr>
        <w:autoSpaceDE w:val="0"/>
        <w:autoSpaceDN w:val="0"/>
        <w:adjustRightInd w:val="0"/>
        <w:jc w:val="both"/>
        <w:rPr>
          <w:rFonts w:ascii="Verdana" w:hAnsi="Verdana"/>
          <w:b/>
          <w:sz w:val="18"/>
          <w:szCs w:val="18"/>
        </w:rPr>
      </w:pPr>
    </w:p>
    <w:p w:rsidR="00024351" w:rsidRPr="009A04A7" w:rsidRDefault="00024351" w:rsidP="00024351">
      <w:pPr>
        <w:rPr>
          <w:rFonts w:ascii="Verdana" w:hAnsi="Verdana"/>
          <w:sz w:val="18"/>
          <w:szCs w:val="18"/>
        </w:rPr>
      </w:pPr>
      <w:r w:rsidRPr="009A04A7">
        <w:rPr>
          <w:rFonts w:ascii="Verdana" w:hAnsi="Verdana"/>
          <w:sz w:val="18"/>
          <w:szCs w:val="18"/>
        </w:rPr>
        <w:t>Número de créditos europeos (ECTS):2,5 (1 ECTS de actividades presenciales, 0,5 ECTS tutorías, 1 ECTS de trabajo dirigido de los estudiantes)</w:t>
      </w: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 xml:space="preserve">Carácter (obligatorio/optativo): Optativo. </w:t>
      </w: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Unidad Temporal:</w:t>
      </w:r>
      <w:r w:rsidRPr="009A04A7">
        <w:rPr>
          <w:rFonts w:ascii="Verdana" w:hAnsi="Verdana"/>
          <w:b/>
          <w:sz w:val="18"/>
          <w:szCs w:val="18"/>
        </w:rPr>
        <w:t xml:space="preserve"> </w:t>
      </w:r>
      <w:r w:rsidRPr="009A04A7">
        <w:rPr>
          <w:rFonts w:ascii="Verdana" w:hAnsi="Verdana"/>
          <w:sz w:val="18"/>
          <w:szCs w:val="18"/>
        </w:rPr>
        <w:t>Del 25 al 29 de Enero de 2009 (Girona)</w:t>
      </w: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Docencia asignada a María Jesús Agra Pardinas (Universidad de Santiago de Compostela) (Profesora invitada).</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Competencias:</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jc w:val="both"/>
        <w:rPr>
          <w:rFonts w:ascii="Verdana" w:hAnsi="Verdana"/>
          <w:b/>
          <w:sz w:val="18"/>
          <w:szCs w:val="18"/>
        </w:rPr>
      </w:pPr>
      <w:r w:rsidRPr="009A04A7">
        <w:rPr>
          <w:rFonts w:ascii="Verdana" w:hAnsi="Verdana"/>
          <w:sz w:val="18"/>
          <w:szCs w:val="18"/>
        </w:rPr>
        <w:t xml:space="preserve">1. Adquirir conocimientos básicos sobre la metodología de investigación artístico-narrativa </w:t>
      </w:r>
      <w:r w:rsidRPr="009A04A7">
        <w:rPr>
          <w:rFonts w:ascii="Verdana" w:hAnsi="Verdana"/>
          <w:b/>
          <w:sz w:val="18"/>
          <w:szCs w:val="18"/>
        </w:rPr>
        <w:t>(Relacionada con las competencias específicas 5-8-12)</w:t>
      </w:r>
    </w:p>
    <w:p w:rsidR="00024351" w:rsidRPr="009A04A7" w:rsidRDefault="00024351" w:rsidP="00024351">
      <w:pPr>
        <w:jc w:val="both"/>
        <w:rPr>
          <w:rFonts w:ascii="Verdana" w:hAnsi="Verdana"/>
          <w:sz w:val="18"/>
          <w:szCs w:val="18"/>
        </w:rPr>
      </w:pPr>
    </w:p>
    <w:p w:rsidR="00024351" w:rsidRPr="009A04A7" w:rsidRDefault="00024351" w:rsidP="00024351">
      <w:pPr>
        <w:jc w:val="both"/>
        <w:rPr>
          <w:rFonts w:ascii="Verdana" w:hAnsi="Verdana"/>
          <w:sz w:val="18"/>
          <w:szCs w:val="18"/>
        </w:rPr>
      </w:pPr>
      <w:r w:rsidRPr="009A04A7">
        <w:rPr>
          <w:rFonts w:ascii="Verdana" w:hAnsi="Verdana"/>
          <w:sz w:val="18"/>
          <w:szCs w:val="18"/>
        </w:rPr>
        <w:t>2. Capacitar para la búsqueda de información, su análisis, interpretación y transmisión.</w:t>
      </w:r>
      <w:r w:rsidRPr="009A04A7">
        <w:rPr>
          <w:rFonts w:ascii="Verdana" w:hAnsi="Verdana"/>
          <w:b/>
          <w:sz w:val="18"/>
          <w:szCs w:val="18"/>
        </w:rPr>
        <w:t xml:space="preserve"> (Relacionada con las competencias específicas 4-5)</w:t>
      </w:r>
    </w:p>
    <w:p w:rsidR="00024351" w:rsidRPr="009A04A7" w:rsidRDefault="00024351" w:rsidP="00024351">
      <w:pPr>
        <w:jc w:val="both"/>
        <w:rPr>
          <w:rFonts w:ascii="Verdana" w:hAnsi="Verdana"/>
          <w:sz w:val="18"/>
          <w:szCs w:val="18"/>
        </w:rPr>
      </w:pPr>
    </w:p>
    <w:p w:rsidR="00024351" w:rsidRPr="009A04A7" w:rsidRDefault="00024351" w:rsidP="00024351">
      <w:pPr>
        <w:jc w:val="both"/>
        <w:rPr>
          <w:rFonts w:ascii="Verdana" w:hAnsi="Verdana"/>
          <w:sz w:val="18"/>
          <w:szCs w:val="18"/>
        </w:rPr>
      </w:pPr>
      <w:r w:rsidRPr="009A04A7">
        <w:rPr>
          <w:rFonts w:ascii="Verdana" w:hAnsi="Verdana"/>
          <w:sz w:val="18"/>
          <w:szCs w:val="18"/>
        </w:rPr>
        <w:t>3. Realizar itinerarios de formación con relación a la investigación en educación artística donde iniciar experiencias investigadoras.</w:t>
      </w:r>
      <w:r w:rsidRPr="009A04A7">
        <w:rPr>
          <w:rFonts w:ascii="Verdana" w:hAnsi="Verdana"/>
          <w:b/>
          <w:sz w:val="18"/>
          <w:szCs w:val="18"/>
        </w:rPr>
        <w:t xml:space="preserve"> (Relacionada con las competencias específicas 8-12)</w:t>
      </w:r>
    </w:p>
    <w:p w:rsidR="00024351" w:rsidRPr="009A04A7" w:rsidRDefault="00024351" w:rsidP="00024351">
      <w:pPr>
        <w:jc w:val="both"/>
        <w:rPr>
          <w:rFonts w:ascii="Verdana" w:hAnsi="Verdana"/>
          <w:sz w:val="18"/>
          <w:szCs w:val="18"/>
        </w:rPr>
      </w:pPr>
    </w:p>
    <w:p w:rsidR="00024351" w:rsidRPr="009A04A7" w:rsidRDefault="00024351" w:rsidP="00024351">
      <w:pPr>
        <w:jc w:val="both"/>
        <w:rPr>
          <w:rFonts w:ascii="Verdana" w:hAnsi="Verdana"/>
          <w:sz w:val="18"/>
          <w:szCs w:val="18"/>
        </w:rPr>
      </w:pPr>
      <w:r w:rsidRPr="009A04A7">
        <w:rPr>
          <w:rFonts w:ascii="Verdana" w:hAnsi="Verdana"/>
          <w:sz w:val="18"/>
          <w:szCs w:val="18"/>
        </w:rPr>
        <w:t xml:space="preserve">4. Encontrar y utilizar métodos y estrategias de investigación coherentes con la práctica artística contemporánea. </w:t>
      </w:r>
      <w:r w:rsidRPr="009A04A7">
        <w:rPr>
          <w:rFonts w:ascii="Verdana" w:hAnsi="Verdana"/>
          <w:b/>
          <w:sz w:val="18"/>
          <w:szCs w:val="18"/>
        </w:rPr>
        <w:t>(Relacionada con las competencias específicas 5-6-7-8-12)</w:t>
      </w:r>
    </w:p>
    <w:p w:rsidR="00024351" w:rsidRPr="009A04A7" w:rsidRDefault="00024351" w:rsidP="00024351">
      <w:pPr>
        <w:jc w:val="both"/>
        <w:rPr>
          <w:rFonts w:ascii="Verdana" w:hAnsi="Verdana"/>
          <w:sz w:val="18"/>
          <w:szCs w:val="18"/>
        </w:rPr>
      </w:pPr>
    </w:p>
    <w:p w:rsidR="00024351" w:rsidRPr="009A04A7" w:rsidRDefault="00024351" w:rsidP="00024351">
      <w:pPr>
        <w:jc w:val="both"/>
        <w:rPr>
          <w:rFonts w:ascii="Verdana" w:hAnsi="Verdana"/>
          <w:sz w:val="18"/>
          <w:szCs w:val="18"/>
        </w:rPr>
      </w:pPr>
      <w:r w:rsidRPr="009A04A7">
        <w:rPr>
          <w:rFonts w:ascii="Verdana" w:hAnsi="Verdana"/>
          <w:sz w:val="18"/>
          <w:szCs w:val="18"/>
        </w:rPr>
        <w:t>5. Capacidad de trabajar autónomamente. Desarrollar la capacidad de plantear, desarrollar y concluir el trabajo de investigación artístico de manera crítica, creativa y comprensiva.</w:t>
      </w:r>
      <w:r w:rsidRPr="009A04A7">
        <w:rPr>
          <w:rFonts w:ascii="Verdana" w:hAnsi="Verdana"/>
          <w:b/>
          <w:sz w:val="18"/>
          <w:szCs w:val="18"/>
        </w:rPr>
        <w:t xml:space="preserve"> (Relacionada con las competencias específicas 1-5-8-12)</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Requisitos previos (en su caso): Conocimientos de las licenciaturas de acceso.</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Actividades formativas y su relación con las competencias:</w:t>
      </w:r>
    </w:p>
    <w:p w:rsidR="00024351" w:rsidRPr="009A04A7" w:rsidRDefault="00024351" w:rsidP="00024351">
      <w:pPr>
        <w:jc w:val="both"/>
        <w:rPr>
          <w:rFonts w:ascii="Verdana" w:hAnsi="Verdana"/>
          <w:sz w:val="18"/>
          <w:szCs w:val="18"/>
        </w:rPr>
      </w:pPr>
      <w:r w:rsidRPr="009A04A7">
        <w:rPr>
          <w:rFonts w:ascii="Verdana" w:hAnsi="Verdana"/>
          <w:sz w:val="18"/>
          <w:szCs w:val="18"/>
        </w:rPr>
        <w:t>•Trabajo individual: participativo y basado en principios de práctica reflexiva con recursos interactivos on-line y off-line para adquirir la  capacidad de trabajar autónomamente.</w:t>
      </w:r>
    </w:p>
    <w:p w:rsidR="00024351" w:rsidRPr="009A04A7" w:rsidRDefault="00024351" w:rsidP="00024351">
      <w:pPr>
        <w:jc w:val="both"/>
        <w:rPr>
          <w:rFonts w:ascii="Verdana" w:hAnsi="Verdana"/>
          <w:sz w:val="18"/>
          <w:szCs w:val="18"/>
        </w:rPr>
      </w:pPr>
      <w:r w:rsidRPr="009A04A7">
        <w:rPr>
          <w:rFonts w:ascii="Verdana" w:hAnsi="Verdana"/>
          <w:b/>
          <w:bCs/>
          <w:sz w:val="18"/>
          <w:szCs w:val="18"/>
        </w:rPr>
        <w:t>·</w:t>
      </w:r>
      <w:r w:rsidRPr="009A04A7">
        <w:rPr>
          <w:rFonts w:ascii="Verdana" w:hAnsi="Verdana"/>
          <w:sz w:val="18"/>
          <w:szCs w:val="18"/>
        </w:rPr>
        <w:t>Desarrollar la capacidad de plantear, desarrollar y concluir el trabajo de investigación artístico de manera crítica, creativa y comprensiva para encontrar y utilizar métodos y estrategias de investigación coherentes con la práctica artística contemporánea.</w:t>
      </w:r>
    </w:p>
    <w:p w:rsidR="00024351" w:rsidRPr="009A04A7" w:rsidRDefault="00024351" w:rsidP="00024351">
      <w:pPr>
        <w:jc w:val="both"/>
        <w:rPr>
          <w:rFonts w:ascii="Verdana" w:hAnsi="Verdana"/>
          <w:sz w:val="18"/>
          <w:szCs w:val="18"/>
        </w:rPr>
      </w:pPr>
      <w:r w:rsidRPr="009A04A7">
        <w:rPr>
          <w:rFonts w:ascii="Verdana" w:hAnsi="Verdana"/>
          <w:sz w:val="18"/>
          <w:szCs w:val="18"/>
        </w:rPr>
        <w:t>•Discusión de textos e imágenes para adquirir conocimientos básicos sobre la metodología de investigación artístico-narrativa</w:t>
      </w: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•Dinámica de trabajo en grupo: se utilizarán técnicas de seminario que combinan momentos de exposición teórica con otros de discusión y debate en torno a lo trabajado así como la realización de propuestas investigadoras para su posterior análisis y valoración y capacitarles para la búsqueda de información, su análisis, interpretación y transmisión, así como para demostrar que han adquirido conocimientos básicos sobre la metodología de investigación artístico-narrativa.</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rPr>
          <w:rFonts w:ascii="Verdana" w:hAnsi="Verdana"/>
          <w:sz w:val="20"/>
          <w:szCs w:val="20"/>
        </w:rPr>
      </w:pPr>
      <w:r w:rsidRPr="009A04A7">
        <w:rPr>
          <w:rFonts w:ascii="Verdana" w:hAnsi="Verdana"/>
          <w:sz w:val="20"/>
          <w:szCs w:val="20"/>
        </w:rPr>
        <w:t>La metodología para favorecer el aprendizaje y la participación de los estudiantes parte de la exposición de un marco introductorio por parte del docente, para luego pasar dialogar sobre las lecturas derivadas de una serie de textos que introducen los conceptos y problemáticas llevados al curso.</w:t>
      </w:r>
    </w:p>
    <w:p w:rsidR="00024351" w:rsidRPr="009A04A7" w:rsidRDefault="00024351" w:rsidP="00024351">
      <w:pPr>
        <w:rPr>
          <w:rFonts w:ascii="Verdana" w:hAnsi="Verdana"/>
          <w:sz w:val="20"/>
          <w:szCs w:val="20"/>
        </w:rPr>
      </w:pPr>
      <w:r w:rsidRPr="009A04A7">
        <w:rPr>
          <w:rFonts w:ascii="Verdana" w:hAnsi="Verdana"/>
          <w:sz w:val="20"/>
          <w:szCs w:val="20"/>
        </w:rPr>
        <w:t>En la segunda parte se analizan casos y experiencias desde los que se propone a los estudiantes la realización de un trabajo que conecte y amplíe (con nuevas lecturas y ejemplos) las aportaciones realizadas.</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Acciones de coordinación (en su caso):</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Sistemas de evaluación y calificación:</w:t>
      </w:r>
    </w:p>
    <w:p w:rsidR="00024351" w:rsidRPr="009A04A7" w:rsidRDefault="00024351" w:rsidP="00024351">
      <w:pPr>
        <w:jc w:val="both"/>
        <w:rPr>
          <w:rFonts w:ascii="Verdana" w:hAnsi="Verdana"/>
          <w:sz w:val="18"/>
          <w:szCs w:val="18"/>
        </w:rPr>
      </w:pPr>
      <w:r w:rsidRPr="009A04A7">
        <w:rPr>
          <w:rFonts w:ascii="Verdana" w:hAnsi="Verdana"/>
          <w:sz w:val="18"/>
          <w:szCs w:val="18"/>
        </w:rPr>
        <w:t xml:space="preserve">Evaluación continua, formativa y cualitativa. </w:t>
      </w:r>
    </w:p>
    <w:p w:rsidR="00024351" w:rsidRPr="009A04A7" w:rsidRDefault="00024351" w:rsidP="00024351">
      <w:pPr>
        <w:jc w:val="both"/>
        <w:rPr>
          <w:rFonts w:ascii="Century Gothic" w:hAnsi="Century Gothic"/>
          <w:noProof/>
          <w:sz w:val="18"/>
          <w:szCs w:val="18"/>
        </w:rPr>
      </w:pPr>
      <w:r w:rsidRPr="009A04A7">
        <w:rPr>
          <w:rFonts w:ascii="Verdana" w:hAnsi="Verdana"/>
          <w:sz w:val="18"/>
          <w:szCs w:val="18"/>
        </w:rPr>
        <w:t>Diseño y puesta en práctica de propuestas de investigación artística además de la valoración reflexiva y crítica utilizando las diferentes narrativas como principal instrumento de formación y evaluación.</w:t>
      </w:r>
      <w:r w:rsidRPr="009A04A7">
        <w:rPr>
          <w:rFonts w:ascii="Century Gothic" w:hAnsi="Century Gothic"/>
          <w:noProof/>
          <w:sz w:val="18"/>
          <w:szCs w:val="18"/>
        </w:rPr>
        <w:t> </w:t>
      </w:r>
    </w:p>
    <w:p w:rsidR="00024351" w:rsidRPr="009A04A7" w:rsidRDefault="00024351" w:rsidP="00024351">
      <w:pPr>
        <w:jc w:val="both"/>
        <w:rPr>
          <w:rFonts w:ascii="Century Gothic" w:hAnsi="Century Gothic"/>
          <w:noProof/>
          <w:sz w:val="18"/>
          <w:szCs w:val="18"/>
        </w:rPr>
      </w:pPr>
    </w:p>
    <w:p w:rsidR="00024351" w:rsidRPr="009A04A7" w:rsidRDefault="00024351" w:rsidP="00024351">
      <w:pPr>
        <w:rPr>
          <w:rFonts w:ascii="Verdana" w:hAnsi="Verdana"/>
          <w:sz w:val="20"/>
          <w:szCs w:val="20"/>
        </w:rPr>
      </w:pPr>
      <w:r w:rsidRPr="009A04A7">
        <w:rPr>
          <w:rFonts w:ascii="Verdana" w:hAnsi="Verdana"/>
          <w:sz w:val="20"/>
          <w:szCs w:val="20"/>
        </w:rPr>
        <w:lastRenderedPageBreak/>
        <w:t xml:space="preserve">La evaluación tiene en cuenta la participación con criterio de cada estudiante en el seminario, así como la realización de las actividades propuestas. </w:t>
      </w:r>
    </w:p>
    <w:p w:rsidR="00024351" w:rsidRPr="009A04A7" w:rsidRDefault="00024351" w:rsidP="00024351">
      <w:pPr>
        <w:rPr>
          <w:rFonts w:ascii="Verdana" w:hAnsi="Verdana"/>
          <w:sz w:val="20"/>
          <w:szCs w:val="20"/>
        </w:rPr>
      </w:pPr>
      <w:r w:rsidRPr="009A04A7">
        <w:rPr>
          <w:rFonts w:ascii="Verdana" w:hAnsi="Verdana"/>
          <w:sz w:val="20"/>
          <w:szCs w:val="20"/>
        </w:rPr>
        <w:t>Además los estudiantes han de realizar un trabajo monográfico vinculado a algunas de las problemáticas planteadas o derivadas del curso.</w:t>
      </w:r>
    </w:p>
    <w:p w:rsidR="00024351" w:rsidRPr="009A04A7" w:rsidRDefault="00024351" w:rsidP="00024351">
      <w:pPr>
        <w:rPr>
          <w:rFonts w:ascii="Verdana" w:hAnsi="Verdana"/>
          <w:sz w:val="20"/>
          <w:szCs w:val="20"/>
        </w:rPr>
      </w:pPr>
      <w:r w:rsidRPr="009A04A7">
        <w:rPr>
          <w:rFonts w:ascii="Verdana" w:hAnsi="Verdana"/>
          <w:sz w:val="20"/>
          <w:szCs w:val="20"/>
        </w:rPr>
        <w:t>Se considera como criterios de valoración del mismo, su capacidad para dialogar con la información  y las lecturas, poner en relación cuestiones y problemas y llevar a casos prácticos los conceptos y metodologías trabajadas.</w:t>
      </w:r>
    </w:p>
    <w:p w:rsidR="00024351" w:rsidRPr="009A04A7" w:rsidRDefault="00024351" w:rsidP="00024351">
      <w:pPr>
        <w:jc w:val="both"/>
        <w:rPr>
          <w:rFonts w:ascii="Verdana" w:hAnsi="Verdana"/>
          <w:noProof/>
          <w:sz w:val="18"/>
          <w:szCs w:val="18"/>
        </w:rPr>
      </w:pPr>
    </w:p>
    <w:p w:rsidR="00024351" w:rsidRPr="009A04A7" w:rsidRDefault="00024351" w:rsidP="00024351">
      <w:pPr>
        <w:jc w:val="both"/>
        <w:rPr>
          <w:rFonts w:ascii="Verdana" w:hAnsi="Verdana"/>
          <w:noProof/>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Se atenderá además a los criterios expresados en el punto 5.1.</w:t>
      </w:r>
    </w:p>
    <w:p w:rsidR="00024351" w:rsidRPr="009A04A7" w:rsidRDefault="00024351" w:rsidP="00024351">
      <w:pPr>
        <w:jc w:val="both"/>
        <w:rPr>
          <w:rFonts w:ascii="Verdana" w:hAnsi="Verdana"/>
          <w:sz w:val="18"/>
          <w:szCs w:val="18"/>
        </w:rPr>
      </w:pPr>
    </w:p>
    <w:p w:rsidR="00024351" w:rsidRPr="009A04A7" w:rsidRDefault="00024351" w:rsidP="00024351">
      <w:pPr>
        <w:jc w:val="both"/>
        <w:rPr>
          <w:rFonts w:ascii="Verdana" w:hAnsi="Verdana"/>
          <w:sz w:val="18"/>
          <w:szCs w:val="18"/>
        </w:rPr>
      </w:pPr>
      <w:r w:rsidRPr="009A04A7">
        <w:rPr>
          <w:rFonts w:ascii="Verdana" w:hAnsi="Verdana"/>
          <w:sz w:val="18"/>
          <w:szCs w:val="18"/>
        </w:rPr>
        <w:t>El sistema de calificaciones se expresará mediante calificación numérica de acuerdo con lo establecido en el art. 5 del R. D 1125/2003, de 5 de septiembre, por el que se establece el sistema europeo de créditos y el sistema de calificaciones en las titulaciones universitarias de carácter oficial y validez en el territorio nacional.</w:t>
      </w:r>
    </w:p>
    <w:p w:rsidR="00024351" w:rsidRPr="009A04A7" w:rsidRDefault="00024351" w:rsidP="00024351">
      <w:pPr>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La calificación global corresponderá a la puntuación ponderada de los diferentes aspectos y actividades que integran el sistema de evaluación.</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r w:rsidRPr="009A04A7">
        <w:rPr>
          <w:rFonts w:ascii="Verdana" w:hAnsi="Verdana"/>
          <w:sz w:val="18"/>
          <w:szCs w:val="18"/>
        </w:rPr>
        <w:t xml:space="preserve">Breve descripción de los contenidos: </w:t>
      </w:r>
    </w:p>
    <w:p w:rsidR="00024351" w:rsidRPr="009A04A7" w:rsidRDefault="00024351" w:rsidP="00024351">
      <w:pPr>
        <w:jc w:val="both"/>
        <w:rPr>
          <w:rFonts w:ascii="Verdana" w:hAnsi="Verdana"/>
          <w:sz w:val="18"/>
          <w:szCs w:val="18"/>
        </w:rPr>
      </w:pPr>
      <w:r w:rsidRPr="009A04A7">
        <w:rPr>
          <w:rFonts w:ascii="Verdana" w:hAnsi="Verdana"/>
          <w:sz w:val="18"/>
          <w:szCs w:val="18"/>
        </w:rPr>
        <w:t>•Perspectivas de investigación sobre Educación Artística como lugar de intersección de diferentes disciplinas</w:t>
      </w:r>
    </w:p>
    <w:p w:rsidR="00024351" w:rsidRPr="009A04A7" w:rsidRDefault="00024351" w:rsidP="00024351">
      <w:pPr>
        <w:jc w:val="both"/>
        <w:rPr>
          <w:rFonts w:ascii="Verdana" w:hAnsi="Verdana"/>
          <w:sz w:val="18"/>
          <w:szCs w:val="18"/>
        </w:rPr>
      </w:pPr>
      <w:r w:rsidRPr="009A04A7">
        <w:rPr>
          <w:rFonts w:ascii="Verdana" w:hAnsi="Verdana"/>
          <w:sz w:val="18"/>
          <w:szCs w:val="18"/>
        </w:rPr>
        <w:t>•Nuevas perspectivas de investigación artística: la investigación artística-narrativa</w:t>
      </w:r>
    </w:p>
    <w:p w:rsidR="00024351" w:rsidRPr="009A04A7" w:rsidRDefault="00024351" w:rsidP="00024351">
      <w:pPr>
        <w:jc w:val="both"/>
        <w:rPr>
          <w:rFonts w:ascii="Verdana" w:hAnsi="Verdana"/>
          <w:sz w:val="18"/>
          <w:szCs w:val="18"/>
        </w:rPr>
      </w:pPr>
      <w:r w:rsidRPr="009A04A7">
        <w:rPr>
          <w:rFonts w:ascii="Verdana" w:hAnsi="Verdana"/>
          <w:sz w:val="18"/>
          <w:szCs w:val="18"/>
        </w:rPr>
        <w:t>•Cartografiar el paisaje de la investigación artístico-narrativa. Puntos de encuentro y desencuentro.</w:t>
      </w:r>
    </w:p>
    <w:p w:rsidR="00024351" w:rsidRPr="009A04A7" w:rsidRDefault="00024351" w:rsidP="00024351">
      <w:pPr>
        <w:jc w:val="both"/>
        <w:rPr>
          <w:rFonts w:ascii="Verdana" w:hAnsi="Verdana"/>
          <w:sz w:val="18"/>
          <w:szCs w:val="18"/>
        </w:rPr>
      </w:pPr>
      <w:r w:rsidRPr="009A04A7">
        <w:rPr>
          <w:rFonts w:ascii="Verdana" w:hAnsi="Verdana"/>
          <w:sz w:val="18"/>
          <w:szCs w:val="18"/>
        </w:rPr>
        <w:t>•Las “escrituras del yo” en el marco de la investigación cualitativa</w:t>
      </w:r>
    </w:p>
    <w:p w:rsidR="00024351" w:rsidRPr="009A04A7" w:rsidRDefault="00024351" w:rsidP="00024351">
      <w:pPr>
        <w:jc w:val="both"/>
        <w:rPr>
          <w:rFonts w:ascii="Verdana" w:hAnsi="Verdana"/>
          <w:sz w:val="18"/>
          <w:szCs w:val="18"/>
        </w:rPr>
      </w:pPr>
      <w:r w:rsidRPr="009A04A7">
        <w:rPr>
          <w:rFonts w:ascii="Verdana" w:hAnsi="Verdana"/>
          <w:sz w:val="18"/>
          <w:szCs w:val="18"/>
        </w:rPr>
        <w:t>•Enfoques de investigaciones contemporáneas de Educación Artística en la Formación del Profesorado</w:t>
      </w:r>
    </w:p>
    <w:p w:rsidR="00024351" w:rsidRPr="009A04A7" w:rsidRDefault="00024351" w:rsidP="00024351">
      <w:pPr>
        <w:jc w:val="both"/>
        <w:rPr>
          <w:rFonts w:ascii="Verdana" w:hAnsi="Verdana"/>
          <w:sz w:val="18"/>
          <w:szCs w:val="18"/>
        </w:rPr>
      </w:pPr>
      <w:r w:rsidRPr="009A04A7">
        <w:rPr>
          <w:rFonts w:ascii="Verdana" w:hAnsi="Verdana"/>
          <w:sz w:val="18"/>
          <w:szCs w:val="18"/>
        </w:rPr>
        <w:t>•Diseños de propuestas de investigación. Prácticas en el seminario</w:t>
      </w:r>
    </w:p>
    <w:p w:rsidR="00024351" w:rsidRPr="009A04A7" w:rsidRDefault="00024351" w:rsidP="00024351">
      <w:pPr>
        <w:jc w:val="both"/>
        <w:rPr>
          <w:rFonts w:ascii="Verdana" w:eastAsia="MS Gothic" w:hAnsi="Verdana"/>
          <w:sz w:val="18"/>
          <w:szCs w:val="18"/>
        </w:rPr>
      </w:pPr>
      <w:r w:rsidRPr="009A04A7">
        <w:rPr>
          <w:rFonts w:ascii="Verdana" w:hAnsi="Verdana"/>
          <w:sz w:val="18"/>
          <w:szCs w:val="18"/>
        </w:rPr>
        <w:t>•El portafolios cuaderno o libro de artista) en el contexto de la investigación artístico-narrativa.</w:t>
      </w:r>
      <w:r w:rsidRPr="009A04A7">
        <w:rPr>
          <w:rFonts w:ascii="Verdana" w:eastAsia="MS Gothic" w:hAnsi="MS Gothic"/>
          <w:sz w:val="18"/>
          <w:szCs w:val="18"/>
        </w:rPr>
        <w:t> </w:t>
      </w:r>
    </w:p>
    <w:p w:rsidR="00024351" w:rsidRPr="009A04A7" w:rsidRDefault="00024351" w:rsidP="00024351">
      <w:pPr>
        <w:autoSpaceDE w:val="0"/>
        <w:autoSpaceDN w:val="0"/>
        <w:adjustRightInd w:val="0"/>
        <w:jc w:val="both"/>
        <w:rPr>
          <w:rFonts w:ascii="Verdana" w:hAnsi="Verdana"/>
          <w:sz w:val="18"/>
          <w:szCs w:val="18"/>
        </w:rPr>
      </w:pPr>
    </w:p>
    <w:p w:rsidR="00024351" w:rsidRPr="009A04A7" w:rsidRDefault="00024351" w:rsidP="00024351">
      <w:pPr>
        <w:autoSpaceDE w:val="0"/>
        <w:autoSpaceDN w:val="0"/>
        <w:adjustRightInd w:val="0"/>
        <w:jc w:val="both"/>
        <w:rPr>
          <w:rFonts w:ascii="Verdana" w:hAnsi="Verdana"/>
          <w:sz w:val="18"/>
          <w:szCs w:val="18"/>
        </w:rPr>
      </w:pPr>
    </w:p>
    <w:p w:rsidR="00396903" w:rsidRDefault="00396903">
      <w:bookmarkStart w:id="0" w:name="_GoBack"/>
      <w:bookmarkEnd w:id="0"/>
    </w:p>
    <w:sectPr w:rsidR="00396903" w:rsidSect="00CA40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1"/>
    <w:rsid w:val="00024351"/>
    <w:rsid w:val="00396903"/>
    <w:rsid w:val="00CA40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3F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51"/>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51"/>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4323</Characters>
  <Application>Microsoft Macintosh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2015-12-06T23:30:00Z</dcterms:created>
  <dcterms:modified xsi:type="dcterms:W3CDTF">2015-12-06T23:30:00Z</dcterms:modified>
</cp:coreProperties>
</file>